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C1" w:rsidRPr="002352ED" w:rsidRDefault="004222C1" w:rsidP="00753F0A">
      <w:pPr>
        <w:pStyle w:val="Subtitle"/>
        <w:ind w:left="-284"/>
        <w:jc w:val="center"/>
        <w:rPr>
          <w:sz w:val="24"/>
          <w:szCs w:val="24"/>
        </w:rPr>
      </w:pPr>
      <w:r w:rsidRPr="002352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352ED">
        <w:rPr>
          <w:sz w:val="24"/>
          <w:szCs w:val="24"/>
        </w:rPr>
        <w:t xml:space="preserve">  Sulęcin, dnia  </w:t>
      </w:r>
      <w:r>
        <w:rPr>
          <w:sz w:val="24"/>
          <w:szCs w:val="24"/>
        </w:rPr>
        <w:t>14</w:t>
      </w:r>
      <w:r w:rsidRPr="002352ED">
        <w:rPr>
          <w:sz w:val="24"/>
          <w:szCs w:val="24"/>
        </w:rPr>
        <w:t xml:space="preserve"> ma</w:t>
      </w:r>
      <w:r>
        <w:rPr>
          <w:sz w:val="24"/>
          <w:szCs w:val="24"/>
        </w:rPr>
        <w:t>ja</w:t>
      </w:r>
      <w:r w:rsidRPr="002352ED">
        <w:rPr>
          <w:sz w:val="24"/>
          <w:szCs w:val="24"/>
        </w:rPr>
        <w:t xml:space="preserve">  2018 r.     </w:t>
      </w:r>
    </w:p>
    <w:p w:rsidR="004222C1" w:rsidRPr="002352ED" w:rsidRDefault="004222C1" w:rsidP="00A235DF">
      <w:pPr>
        <w:pStyle w:val="Subtitle"/>
        <w:jc w:val="center"/>
        <w:rPr>
          <w:szCs w:val="28"/>
        </w:rPr>
      </w:pPr>
      <w:r w:rsidRPr="002352ED">
        <w:rPr>
          <w:sz w:val="24"/>
          <w:szCs w:val="24"/>
        </w:rPr>
        <w:t xml:space="preserve">B </w:t>
      </w:r>
      <w:r w:rsidRPr="002352ED">
        <w:rPr>
          <w:szCs w:val="28"/>
        </w:rPr>
        <w:t xml:space="preserve">U R M I S T R Z    S U L Ę C I N A        </w:t>
      </w:r>
    </w:p>
    <w:p w:rsidR="004222C1" w:rsidRPr="002352ED" w:rsidRDefault="004222C1" w:rsidP="00A235DF">
      <w:pPr>
        <w:pStyle w:val="Subtitle"/>
        <w:jc w:val="center"/>
        <w:rPr>
          <w:szCs w:val="28"/>
        </w:rPr>
      </w:pPr>
      <w:r w:rsidRPr="002352ED">
        <w:rPr>
          <w:szCs w:val="28"/>
        </w:rPr>
        <w:t xml:space="preserve">o g ł a s z a   </w:t>
      </w:r>
    </w:p>
    <w:p w:rsidR="004222C1" w:rsidRPr="002352ED" w:rsidRDefault="004222C1" w:rsidP="00EE0E3A">
      <w:pPr>
        <w:pStyle w:val="Subtitle"/>
        <w:jc w:val="center"/>
        <w:rPr>
          <w:szCs w:val="28"/>
          <w:u w:val="single"/>
        </w:rPr>
      </w:pPr>
      <w:r w:rsidRPr="002352ED">
        <w:rPr>
          <w:szCs w:val="28"/>
          <w:u w:val="single"/>
        </w:rPr>
        <w:t xml:space="preserve">przetargi  ustne   nieograniczone   </w:t>
      </w:r>
    </w:p>
    <w:p w:rsidR="004222C1" w:rsidRPr="002352ED" w:rsidRDefault="004222C1" w:rsidP="00EB2918">
      <w:pPr>
        <w:pStyle w:val="Subtitle"/>
        <w:jc w:val="center"/>
        <w:rPr>
          <w:b w:val="0"/>
          <w:szCs w:val="28"/>
        </w:rPr>
      </w:pPr>
      <w:r w:rsidRPr="002352ED">
        <w:rPr>
          <w:szCs w:val="28"/>
          <w:u w:val="single"/>
        </w:rPr>
        <w:t xml:space="preserve">w   dniu   </w:t>
      </w:r>
      <w:r>
        <w:rPr>
          <w:szCs w:val="28"/>
          <w:u w:val="single"/>
        </w:rPr>
        <w:t>18</w:t>
      </w:r>
      <w:r w:rsidRPr="002352ED">
        <w:rPr>
          <w:szCs w:val="28"/>
          <w:u w:val="single"/>
        </w:rPr>
        <w:t xml:space="preserve">  </w:t>
      </w:r>
      <w:r>
        <w:rPr>
          <w:szCs w:val="28"/>
          <w:u w:val="single"/>
        </w:rPr>
        <w:t>czerwca</w:t>
      </w:r>
      <w:r w:rsidRPr="002352ED">
        <w:rPr>
          <w:szCs w:val="28"/>
          <w:u w:val="single"/>
        </w:rPr>
        <w:t xml:space="preserve">  2018  r. od godz. </w:t>
      </w:r>
      <w:r w:rsidRPr="002352ED">
        <w:rPr>
          <w:szCs w:val="28"/>
          <w:u w:val="single"/>
          <w:vertAlign w:val="superscript"/>
        </w:rPr>
        <w:t xml:space="preserve"> </w:t>
      </w:r>
      <w:r w:rsidRPr="002352ED">
        <w:rPr>
          <w:szCs w:val="28"/>
          <w:u w:val="single"/>
        </w:rPr>
        <w:t>10</w:t>
      </w:r>
      <w:r w:rsidRPr="002352ED">
        <w:rPr>
          <w:szCs w:val="28"/>
          <w:u w:val="single"/>
          <w:vertAlign w:val="superscript"/>
        </w:rPr>
        <w:t xml:space="preserve">00 </w:t>
      </w:r>
      <w:r w:rsidRPr="002352ED">
        <w:rPr>
          <w:szCs w:val="28"/>
          <w:u w:val="single"/>
        </w:rPr>
        <w:t>do 11</w:t>
      </w:r>
      <w:r>
        <w:rPr>
          <w:szCs w:val="28"/>
          <w:u w:val="single"/>
          <w:vertAlign w:val="superscript"/>
        </w:rPr>
        <w:t>00</w:t>
      </w:r>
      <w:r w:rsidRPr="002352ED">
        <w:rPr>
          <w:szCs w:val="28"/>
          <w:vertAlign w:val="superscript"/>
        </w:rPr>
        <w:t xml:space="preserve"> </w:t>
      </w:r>
      <w:r w:rsidRPr="002352ED">
        <w:rPr>
          <w:szCs w:val="28"/>
        </w:rPr>
        <w:t xml:space="preserve">( co 15 minut na każdą nieruchomość ) </w:t>
      </w:r>
      <w:r w:rsidRPr="002352ED">
        <w:rPr>
          <w:szCs w:val="28"/>
          <w:vertAlign w:val="superscript"/>
        </w:rPr>
        <w:t xml:space="preserve"> </w:t>
      </w:r>
      <w:r w:rsidRPr="002352ED">
        <w:rPr>
          <w:szCs w:val="28"/>
        </w:rPr>
        <w:t>w  sali konferencyjnej Urzędu Mie</w:t>
      </w:r>
      <w:r w:rsidRPr="002352ED">
        <w:rPr>
          <w:szCs w:val="28"/>
        </w:rPr>
        <w:t>j</w:t>
      </w:r>
      <w:r w:rsidRPr="002352ED">
        <w:rPr>
          <w:szCs w:val="28"/>
        </w:rPr>
        <w:t>skiego w Sulęcinie ul. Lipowa 18  na  sprz</w:t>
      </w:r>
      <w:r w:rsidRPr="002352ED">
        <w:rPr>
          <w:szCs w:val="28"/>
        </w:rPr>
        <w:t>e</w:t>
      </w:r>
      <w:r w:rsidRPr="002352ED">
        <w:rPr>
          <w:szCs w:val="28"/>
        </w:rPr>
        <w:t>daż  nieruchomości gruntowych niezabudowanych .</w:t>
      </w:r>
    </w:p>
    <w:p w:rsidR="004222C1" w:rsidRPr="008158FC" w:rsidRDefault="004222C1" w:rsidP="00EB2918">
      <w:pPr>
        <w:pStyle w:val="Sub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134"/>
        <w:gridCol w:w="1134"/>
        <w:gridCol w:w="2126"/>
        <w:gridCol w:w="1559"/>
        <w:gridCol w:w="1276"/>
        <w:gridCol w:w="5245"/>
      </w:tblGrid>
      <w:tr w:rsidR="004222C1" w:rsidRPr="00743197" w:rsidTr="004576F7">
        <w:trPr>
          <w:trHeight w:val="837"/>
        </w:trPr>
        <w:tc>
          <w:tcPr>
            <w:tcW w:w="1384" w:type="dxa"/>
          </w:tcPr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Nr prz</w:t>
            </w:r>
            <w:r w:rsidRPr="00977026">
              <w:rPr>
                <w:sz w:val="24"/>
                <w:szCs w:val="24"/>
              </w:rPr>
              <w:t>e</w:t>
            </w:r>
            <w:r w:rsidRPr="00977026">
              <w:rPr>
                <w:sz w:val="24"/>
                <w:szCs w:val="24"/>
              </w:rPr>
              <w:t>targu</w:t>
            </w:r>
          </w:p>
        </w:tc>
        <w:tc>
          <w:tcPr>
            <w:tcW w:w="1276" w:type="dxa"/>
          </w:tcPr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Położ</w:t>
            </w:r>
            <w:r w:rsidRPr="00977026">
              <w:rPr>
                <w:sz w:val="24"/>
                <w:szCs w:val="24"/>
              </w:rPr>
              <w:t>e</w:t>
            </w:r>
            <w:r w:rsidRPr="00977026">
              <w:rPr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Nr działki</w:t>
            </w:r>
          </w:p>
        </w:tc>
        <w:tc>
          <w:tcPr>
            <w:tcW w:w="1134" w:type="dxa"/>
          </w:tcPr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Pow. działki</w:t>
            </w: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/ha/</w:t>
            </w:r>
          </w:p>
        </w:tc>
        <w:tc>
          <w:tcPr>
            <w:tcW w:w="2126" w:type="dxa"/>
          </w:tcPr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 xml:space="preserve">Księga  wieczysta </w:t>
            </w:r>
          </w:p>
        </w:tc>
        <w:tc>
          <w:tcPr>
            <w:tcW w:w="1559" w:type="dxa"/>
          </w:tcPr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</w:p>
          <w:p w:rsidR="004222C1" w:rsidRPr="00977026" w:rsidRDefault="004222C1" w:rsidP="003B068B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Cena wyw</w:t>
            </w:r>
            <w:r w:rsidRPr="00977026">
              <w:rPr>
                <w:sz w:val="24"/>
                <w:szCs w:val="24"/>
              </w:rPr>
              <w:t>o</w:t>
            </w:r>
            <w:r w:rsidRPr="00977026">
              <w:rPr>
                <w:sz w:val="24"/>
                <w:szCs w:val="24"/>
              </w:rPr>
              <w:t xml:space="preserve">ławcza </w:t>
            </w:r>
          </w:p>
          <w:p w:rsidR="004222C1" w:rsidRPr="00977026" w:rsidRDefault="004222C1" w:rsidP="003B068B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brutto</w:t>
            </w:r>
          </w:p>
          <w:p w:rsidR="004222C1" w:rsidRPr="00977026" w:rsidRDefault="004222C1" w:rsidP="003B068B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/zł /</w:t>
            </w:r>
          </w:p>
        </w:tc>
        <w:tc>
          <w:tcPr>
            <w:tcW w:w="1276" w:type="dxa"/>
          </w:tcPr>
          <w:p w:rsidR="004222C1" w:rsidRPr="00977026" w:rsidRDefault="004222C1" w:rsidP="00B346A6">
            <w:pPr>
              <w:pStyle w:val="Subtitle"/>
              <w:jc w:val="center"/>
              <w:rPr>
                <w:sz w:val="24"/>
                <w:szCs w:val="24"/>
              </w:rPr>
            </w:pP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Wadium</w:t>
            </w:r>
          </w:p>
          <w:p w:rsidR="004222C1" w:rsidRPr="00977026" w:rsidRDefault="004222C1" w:rsidP="00417AA7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/zł/</w:t>
            </w:r>
          </w:p>
        </w:tc>
        <w:tc>
          <w:tcPr>
            <w:tcW w:w="5245" w:type="dxa"/>
          </w:tcPr>
          <w:p w:rsidR="004222C1" w:rsidRPr="00977026" w:rsidRDefault="004222C1" w:rsidP="00986F1D">
            <w:pPr>
              <w:pStyle w:val="Subtitle"/>
              <w:jc w:val="left"/>
              <w:rPr>
                <w:sz w:val="24"/>
                <w:szCs w:val="24"/>
              </w:rPr>
            </w:pPr>
          </w:p>
          <w:p w:rsidR="004222C1" w:rsidRPr="00977026" w:rsidRDefault="004222C1" w:rsidP="004953A2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Opis   nieruchomości</w:t>
            </w:r>
          </w:p>
          <w:p w:rsidR="004222C1" w:rsidRPr="00977026" w:rsidRDefault="004222C1" w:rsidP="004953A2">
            <w:pPr>
              <w:pStyle w:val="Subtitle"/>
              <w:jc w:val="center"/>
              <w:rPr>
                <w:sz w:val="24"/>
                <w:szCs w:val="24"/>
              </w:rPr>
            </w:pPr>
            <w:r w:rsidRPr="00977026">
              <w:rPr>
                <w:sz w:val="24"/>
                <w:szCs w:val="24"/>
              </w:rPr>
              <w:t>dla  wszystkich   działek</w:t>
            </w:r>
          </w:p>
        </w:tc>
      </w:tr>
      <w:tr w:rsidR="004222C1" w:rsidRPr="0068382D" w:rsidTr="004576F7">
        <w:trPr>
          <w:trHeight w:val="1028"/>
        </w:trPr>
        <w:tc>
          <w:tcPr>
            <w:tcW w:w="1384" w:type="dxa"/>
          </w:tcPr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3/2018/II</w:t>
            </w:r>
          </w:p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2C1" w:rsidRPr="00977026" w:rsidRDefault="004222C1" w:rsidP="00E74E79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E74E79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Sulęcin</w:t>
            </w:r>
          </w:p>
          <w:p w:rsidR="004222C1" w:rsidRPr="00977026" w:rsidRDefault="004222C1" w:rsidP="005872A6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obręb 47</w:t>
            </w:r>
          </w:p>
        </w:tc>
        <w:tc>
          <w:tcPr>
            <w:tcW w:w="1134" w:type="dxa"/>
          </w:tcPr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475/3</w:t>
            </w:r>
          </w:p>
        </w:tc>
        <w:tc>
          <w:tcPr>
            <w:tcW w:w="1134" w:type="dxa"/>
          </w:tcPr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0.1135</w:t>
            </w:r>
          </w:p>
        </w:tc>
        <w:tc>
          <w:tcPr>
            <w:tcW w:w="212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GW1U/00027773/1</w:t>
            </w:r>
          </w:p>
        </w:tc>
        <w:tc>
          <w:tcPr>
            <w:tcW w:w="1559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77.995,-</w:t>
            </w:r>
          </w:p>
        </w:tc>
        <w:tc>
          <w:tcPr>
            <w:tcW w:w="127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8.000,-</w:t>
            </w: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4222C1" w:rsidRDefault="004222C1" w:rsidP="004F47C1">
            <w:pPr>
              <w:jc w:val="both"/>
            </w:pPr>
            <w:r>
              <w:t>Odbyte przetargi: 07.05.2018r.-pierwszy przetarg.</w:t>
            </w:r>
          </w:p>
          <w:p w:rsidR="004222C1" w:rsidRPr="0068382D" w:rsidRDefault="004222C1" w:rsidP="004F47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t>Teren nie posiada miejscowego planu zagospodarowania przestrzennego i Gmina nie przystąpiła do jego sporządzenia. Dla obszaru wydana została decyzja nr 16/2017 z dnia 10 marca 2017 r. o ustaleniu warunków zabudowy i zagospodarowania terenu. Decyzja ta  ustala warunki zabudowy dla trzynastu wolnostojących budynków mieszkalnych jednorodzinnych wraz z niezbędną infrastrukturą techniczną i zagospodarowaniem terenu obejmująca między innymi działkę 475 ( przed podziałem ).  W studium  uwarunkowań i kierunków zagospodarowania przestrzennego Gminy Sulęcin  teren  opisany jest  jako  tereny zabudowy mieszkaniowej  i funkcji towarzyszącej. Teren  działek porośnięty jest trawą, zakrzaczeniami oraz  samosiewami  drzew iglastych ( drzewostan  nie  przedstawia wartości użytkowej).Działki  475/3,475/4,475/5  posiadają dostęp do drogi publicznej nr 103336F- ul. Przemysłowa (dz.474), poprzez działkę 475/7 opisaną w ewidencji gruntów użytkiem Tp -tereny przeznaczone pod budowę dróg publicznych  a działka 475/6 poprzez działki 475/1 i 475/7  opisane w ewidencji gruntów użytkiem  Tp -tereny przeznaczone pod budowę dróg publicznych. W  pasie  drogowym  ulicy Przemysłowej przebiega energia elektryczna sieć kanalizacji sanitarnej  i  wodociągowej  w odległości ok.130 m</w:t>
            </w:r>
            <w:r w:rsidRPr="006466B2">
              <w:t xml:space="preserve">. </w:t>
            </w:r>
            <w:r w:rsidRPr="006466B2">
              <w:rPr>
                <w:color w:val="000000"/>
              </w:rPr>
              <w:t xml:space="preserve"> Działki nie są obciążone ograniczonymi prawami rzeczowymi, ogr</w:t>
            </w:r>
            <w:r w:rsidRPr="006466B2">
              <w:rPr>
                <w:color w:val="000000"/>
              </w:rPr>
              <w:t>a</w:t>
            </w:r>
            <w:r w:rsidRPr="006466B2">
              <w:rPr>
                <w:color w:val="000000"/>
              </w:rPr>
              <w:t>nicz</w:t>
            </w:r>
            <w:r w:rsidRPr="006466B2">
              <w:rPr>
                <w:color w:val="000000"/>
              </w:rPr>
              <w:t>e</w:t>
            </w:r>
            <w:r w:rsidRPr="006466B2">
              <w:rPr>
                <w:color w:val="000000"/>
              </w:rPr>
              <w:t>niami w rozporządzaniu, długami  ani  ci</w:t>
            </w:r>
            <w:r w:rsidRPr="006466B2">
              <w:rPr>
                <w:color w:val="000000"/>
              </w:rPr>
              <w:t>ę</w:t>
            </w:r>
            <w:r w:rsidRPr="006466B2">
              <w:rPr>
                <w:color w:val="000000"/>
              </w:rPr>
              <w:t>żarami.</w:t>
            </w:r>
          </w:p>
        </w:tc>
      </w:tr>
      <w:tr w:rsidR="004222C1" w:rsidRPr="0068382D" w:rsidTr="004576F7">
        <w:trPr>
          <w:trHeight w:val="1174"/>
        </w:trPr>
        <w:tc>
          <w:tcPr>
            <w:tcW w:w="1384" w:type="dxa"/>
          </w:tcPr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4/2018/II</w:t>
            </w:r>
          </w:p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2C1" w:rsidRPr="00977026" w:rsidRDefault="004222C1" w:rsidP="00E74E79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E74E79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Sulęcin</w:t>
            </w:r>
          </w:p>
          <w:p w:rsidR="004222C1" w:rsidRPr="00977026" w:rsidRDefault="004222C1" w:rsidP="00E74E79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obręb 47</w:t>
            </w:r>
          </w:p>
          <w:p w:rsidR="004222C1" w:rsidRPr="00977026" w:rsidRDefault="004222C1" w:rsidP="00D61EA3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475/4</w:t>
            </w:r>
          </w:p>
        </w:tc>
        <w:tc>
          <w:tcPr>
            <w:tcW w:w="1134" w:type="dxa"/>
          </w:tcPr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0.1224</w:t>
            </w:r>
          </w:p>
        </w:tc>
        <w:tc>
          <w:tcPr>
            <w:tcW w:w="212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GW1U/00027771/7</w:t>
            </w:r>
          </w:p>
        </w:tc>
        <w:tc>
          <w:tcPr>
            <w:tcW w:w="1559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84.108,-</w:t>
            </w:r>
          </w:p>
        </w:tc>
        <w:tc>
          <w:tcPr>
            <w:tcW w:w="127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9.000,-</w:t>
            </w: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222C1" w:rsidRPr="0068382D" w:rsidRDefault="004222C1" w:rsidP="004F47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22C1" w:rsidRPr="0068382D" w:rsidTr="004576F7">
        <w:trPr>
          <w:trHeight w:val="1154"/>
        </w:trPr>
        <w:tc>
          <w:tcPr>
            <w:tcW w:w="1384" w:type="dxa"/>
          </w:tcPr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5/2018/II</w:t>
            </w:r>
          </w:p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2C1" w:rsidRPr="00977026" w:rsidRDefault="004222C1" w:rsidP="00E74E79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E74E79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Sulęcin</w:t>
            </w:r>
          </w:p>
          <w:p w:rsidR="004222C1" w:rsidRPr="00977026" w:rsidRDefault="004222C1" w:rsidP="005872A6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obręb 47</w:t>
            </w:r>
          </w:p>
        </w:tc>
        <w:tc>
          <w:tcPr>
            <w:tcW w:w="1134" w:type="dxa"/>
          </w:tcPr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475/5</w:t>
            </w:r>
          </w:p>
        </w:tc>
        <w:tc>
          <w:tcPr>
            <w:tcW w:w="1134" w:type="dxa"/>
          </w:tcPr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0.1536</w:t>
            </w:r>
          </w:p>
        </w:tc>
        <w:tc>
          <w:tcPr>
            <w:tcW w:w="212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GW1U/00027775/5</w:t>
            </w:r>
          </w:p>
        </w:tc>
        <w:tc>
          <w:tcPr>
            <w:tcW w:w="1559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105.559,-</w:t>
            </w:r>
          </w:p>
        </w:tc>
        <w:tc>
          <w:tcPr>
            <w:tcW w:w="127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11.000,-</w:t>
            </w:r>
          </w:p>
        </w:tc>
        <w:tc>
          <w:tcPr>
            <w:tcW w:w="5245" w:type="dxa"/>
            <w:vMerge/>
          </w:tcPr>
          <w:p w:rsidR="004222C1" w:rsidRPr="0068382D" w:rsidRDefault="004222C1" w:rsidP="004F47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22C1" w:rsidRPr="0068382D" w:rsidTr="00393B13">
        <w:trPr>
          <w:trHeight w:val="1657"/>
        </w:trPr>
        <w:tc>
          <w:tcPr>
            <w:tcW w:w="1384" w:type="dxa"/>
          </w:tcPr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513958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6/2018/II</w:t>
            </w:r>
          </w:p>
        </w:tc>
        <w:tc>
          <w:tcPr>
            <w:tcW w:w="1276" w:type="dxa"/>
          </w:tcPr>
          <w:p w:rsidR="004222C1" w:rsidRPr="00977026" w:rsidRDefault="004222C1" w:rsidP="003305E0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3305E0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Sulęcin</w:t>
            </w:r>
          </w:p>
          <w:p w:rsidR="004222C1" w:rsidRPr="00977026" w:rsidRDefault="004222C1" w:rsidP="003305E0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obręb 47</w:t>
            </w:r>
          </w:p>
        </w:tc>
        <w:tc>
          <w:tcPr>
            <w:tcW w:w="1134" w:type="dxa"/>
          </w:tcPr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 xml:space="preserve"> </w:t>
            </w:r>
          </w:p>
          <w:p w:rsidR="004222C1" w:rsidRPr="00977026" w:rsidRDefault="004222C1" w:rsidP="00047241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 xml:space="preserve">475/6 </w:t>
            </w:r>
          </w:p>
        </w:tc>
        <w:tc>
          <w:tcPr>
            <w:tcW w:w="1134" w:type="dxa"/>
          </w:tcPr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left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0.1254</w:t>
            </w:r>
          </w:p>
        </w:tc>
        <w:tc>
          <w:tcPr>
            <w:tcW w:w="212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GW1U/00027774/8</w:t>
            </w:r>
          </w:p>
        </w:tc>
        <w:tc>
          <w:tcPr>
            <w:tcW w:w="1559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86.174,-</w:t>
            </w:r>
          </w:p>
        </w:tc>
        <w:tc>
          <w:tcPr>
            <w:tcW w:w="1276" w:type="dxa"/>
          </w:tcPr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</w:p>
          <w:p w:rsidR="004222C1" w:rsidRPr="00977026" w:rsidRDefault="004222C1" w:rsidP="00D7104A">
            <w:pPr>
              <w:pStyle w:val="Subtitle"/>
              <w:jc w:val="center"/>
              <w:rPr>
                <w:b w:val="0"/>
                <w:sz w:val="24"/>
                <w:szCs w:val="24"/>
              </w:rPr>
            </w:pPr>
            <w:r w:rsidRPr="00977026">
              <w:rPr>
                <w:b w:val="0"/>
                <w:sz w:val="24"/>
                <w:szCs w:val="24"/>
              </w:rPr>
              <w:t>9.000,-</w:t>
            </w:r>
          </w:p>
        </w:tc>
        <w:tc>
          <w:tcPr>
            <w:tcW w:w="5245" w:type="dxa"/>
            <w:vMerge/>
          </w:tcPr>
          <w:p w:rsidR="004222C1" w:rsidRPr="0068382D" w:rsidRDefault="004222C1" w:rsidP="004F47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22C1" w:rsidRDefault="004222C1" w:rsidP="00304AD7">
      <w:pPr>
        <w:pStyle w:val="Subtitle"/>
        <w:rPr>
          <w:rFonts w:ascii="Arial" w:hAnsi="Arial" w:cs="Arial"/>
          <w:b w:val="0"/>
          <w:sz w:val="20"/>
        </w:rPr>
      </w:pPr>
    </w:p>
    <w:p w:rsidR="004222C1" w:rsidRDefault="004222C1" w:rsidP="008158FC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4222C1" w:rsidRDefault="004222C1" w:rsidP="008158FC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4222C1" w:rsidRDefault="004222C1" w:rsidP="008158FC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>W cenę wliczony jest podatek VAT w wysokości 23 % -ustawa   z  dnia  11  marca 2004 r . o podatku od towarów i usług  ( Dz. U z 201</w:t>
      </w:r>
      <w:r>
        <w:rPr>
          <w:b w:val="0"/>
          <w:sz w:val="24"/>
          <w:szCs w:val="24"/>
        </w:rPr>
        <w:t>7</w:t>
      </w:r>
      <w:r w:rsidRPr="006466B2">
        <w:rPr>
          <w:b w:val="0"/>
          <w:sz w:val="24"/>
          <w:szCs w:val="24"/>
        </w:rPr>
        <w:t xml:space="preserve"> r., poz. </w:t>
      </w:r>
      <w:r>
        <w:rPr>
          <w:b w:val="0"/>
          <w:sz w:val="24"/>
          <w:szCs w:val="24"/>
        </w:rPr>
        <w:t>1221</w:t>
      </w:r>
      <w:r w:rsidRPr="006466B2">
        <w:rPr>
          <w:b w:val="0"/>
          <w:sz w:val="24"/>
          <w:szCs w:val="24"/>
        </w:rPr>
        <w:t xml:space="preserve">  ze zm. ). Przyłącza do nabywanych  nieruchomości należy wykonać na własny koszt i we własnym zakresie, na warunkach uzgo</w:t>
      </w:r>
      <w:r w:rsidRPr="006466B2">
        <w:rPr>
          <w:b w:val="0"/>
          <w:sz w:val="24"/>
          <w:szCs w:val="24"/>
        </w:rPr>
        <w:t>d</w:t>
      </w:r>
      <w:r w:rsidRPr="006466B2">
        <w:rPr>
          <w:b w:val="0"/>
          <w:sz w:val="24"/>
          <w:szCs w:val="24"/>
        </w:rPr>
        <w:t>nionych z właścicielami lub zarzą</w:t>
      </w:r>
      <w:r w:rsidRPr="006466B2">
        <w:rPr>
          <w:b w:val="0"/>
          <w:sz w:val="24"/>
          <w:szCs w:val="24"/>
        </w:rPr>
        <w:t>d</w:t>
      </w:r>
      <w:r w:rsidRPr="006466B2">
        <w:rPr>
          <w:b w:val="0"/>
          <w:sz w:val="24"/>
          <w:szCs w:val="24"/>
        </w:rPr>
        <w:t xml:space="preserve">cami sieci.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 xml:space="preserve">W przetargu mogą brać udział osoby fizyczne lub prawne, jeżeli  wpłacą  </w:t>
      </w:r>
      <w:r w:rsidRPr="006466B2">
        <w:rPr>
          <w:sz w:val="24"/>
          <w:szCs w:val="24"/>
        </w:rPr>
        <w:t>wadium ( na każdą działkę oddzielnie)</w:t>
      </w:r>
      <w:r w:rsidRPr="006466B2">
        <w:rPr>
          <w:b w:val="0"/>
          <w:sz w:val="24"/>
          <w:szCs w:val="24"/>
        </w:rPr>
        <w:t xml:space="preserve">, w pieniądzu </w:t>
      </w:r>
      <w:r>
        <w:rPr>
          <w:b w:val="0"/>
          <w:sz w:val="24"/>
          <w:szCs w:val="24"/>
        </w:rPr>
        <w:t>(PLN)</w:t>
      </w:r>
      <w:r w:rsidRPr="006466B2">
        <w:rPr>
          <w:b w:val="0"/>
          <w:sz w:val="24"/>
          <w:szCs w:val="24"/>
        </w:rPr>
        <w:t xml:space="preserve">, w kasie Urzędu Miejskiego w Sulęcinie ul. Lipowa 18 lub na konto Gminy Sulęcin - Bank PEKAO S.A. O/Sulęcin nr 79124036241111000030633166 w takim terminie, aby najpóźniej  w  dniu  </w:t>
      </w:r>
      <w:r w:rsidRPr="004576F7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czerwca </w:t>
      </w:r>
      <w:r w:rsidRPr="006466B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466B2">
        <w:rPr>
          <w:sz w:val="24"/>
          <w:szCs w:val="24"/>
        </w:rPr>
        <w:t xml:space="preserve"> r.</w:t>
      </w:r>
      <w:r w:rsidRPr="006466B2">
        <w:rPr>
          <w:b w:val="0"/>
          <w:sz w:val="24"/>
          <w:szCs w:val="24"/>
        </w:rPr>
        <w:t xml:space="preserve"> wymagana  kwota  znajdowała się  na  koncie  Urzędu  Miejski</w:t>
      </w:r>
      <w:r w:rsidRPr="006466B2">
        <w:rPr>
          <w:b w:val="0"/>
          <w:sz w:val="24"/>
          <w:szCs w:val="24"/>
        </w:rPr>
        <w:t>e</w:t>
      </w:r>
      <w:r w:rsidRPr="006466B2">
        <w:rPr>
          <w:b w:val="0"/>
          <w:sz w:val="24"/>
          <w:szCs w:val="24"/>
        </w:rPr>
        <w:t xml:space="preserve">go.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>O wysokości postąpienia decydują uczestnicy przetargu, z tym, że postąpienie nie może wynosić mniej niż 1 % ceny wywoławczej, z zaokr</w:t>
      </w:r>
      <w:r w:rsidRPr="006466B2">
        <w:rPr>
          <w:b w:val="0"/>
          <w:sz w:val="24"/>
          <w:szCs w:val="24"/>
        </w:rPr>
        <w:t>ą</w:t>
      </w:r>
      <w:r w:rsidRPr="006466B2">
        <w:rPr>
          <w:b w:val="0"/>
          <w:sz w:val="24"/>
          <w:szCs w:val="24"/>
        </w:rPr>
        <w:t>gleniem w górę do pełnych dziesiątek złotych. Wadium wniesione w pieniądzu przez uczestnika przetargu, który przetarg w</w:t>
      </w:r>
      <w:r w:rsidRPr="006466B2">
        <w:rPr>
          <w:b w:val="0"/>
          <w:sz w:val="24"/>
          <w:szCs w:val="24"/>
        </w:rPr>
        <w:t>y</w:t>
      </w:r>
      <w:r w:rsidRPr="006466B2">
        <w:rPr>
          <w:b w:val="0"/>
          <w:sz w:val="24"/>
          <w:szCs w:val="24"/>
        </w:rPr>
        <w:t>grał, zalicza się na poczet ceny nabycia nieruchomości gruntowej. Pozostałym uczestnikom przetargu wadium zwraca się niezwłocznie po odwołaniu lub z</w:t>
      </w:r>
      <w:r w:rsidRPr="006466B2">
        <w:rPr>
          <w:b w:val="0"/>
          <w:sz w:val="24"/>
          <w:szCs w:val="24"/>
        </w:rPr>
        <w:t>a</w:t>
      </w:r>
      <w:r w:rsidRPr="006466B2">
        <w:rPr>
          <w:b w:val="0"/>
          <w:sz w:val="24"/>
          <w:szCs w:val="24"/>
        </w:rPr>
        <w:t>mknięciu przetargu, jednak nie później niż przed upływem 3 dni od dnia odwołania lub z</w:t>
      </w:r>
      <w:r w:rsidRPr="006466B2">
        <w:rPr>
          <w:b w:val="0"/>
          <w:sz w:val="24"/>
          <w:szCs w:val="24"/>
        </w:rPr>
        <w:t>a</w:t>
      </w:r>
      <w:r w:rsidRPr="006466B2">
        <w:rPr>
          <w:b w:val="0"/>
          <w:sz w:val="24"/>
          <w:szCs w:val="24"/>
        </w:rPr>
        <w:t>mknięcia przetargu.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>Uczestnicy przetargu zobowiązani  są  do  przedłożenia  komisji  przetargowej  przed  otwarciem  przetargu : dowodu wniesienia wadium  oraz dokumentu tożsamości (d</w:t>
      </w:r>
      <w:r w:rsidRPr="006466B2">
        <w:rPr>
          <w:b w:val="0"/>
          <w:sz w:val="24"/>
          <w:szCs w:val="24"/>
        </w:rPr>
        <w:t>o</w:t>
      </w:r>
      <w:r w:rsidRPr="006466B2">
        <w:rPr>
          <w:b w:val="0"/>
          <w:sz w:val="24"/>
          <w:szCs w:val="24"/>
        </w:rPr>
        <w:t>wód osobisty, paszport)  osoba  reprezentująca  w  przetargu osobę  prawną  upoważnienia  udzielonego  przez organ przedstawicielski, pełnomocnicy – pełnomocnictwo do uczestnictwa w przetargu, aktualnego  wyp</w:t>
      </w:r>
      <w:r w:rsidRPr="006466B2">
        <w:rPr>
          <w:b w:val="0"/>
          <w:sz w:val="24"/>
          <w:szCs w:val="24"/>
        </w:rPr>
        <w:t>i</w:t>
      </w:r>
      <w:r w:rsidRPr="006466B2">
        <w:rPr>
          <w:b w:val="0"/>
          <w:sz w:val="24"/>
          <w:szCs w:val="24"/>
        </w:rPr>
        <w:t>su  z  właściwego rejestru, małżonek  zamierzający samodzielnie licytować nieruchomość nabywaną  do majątku  wspólnego – pisemną  zgodę  współma</w:t>
      </w:r>
      <w:r w:rsidRPr="006466B2">
        <w:rPr>
          <w:b w:val="0"/>
          <w:sz w:val="24"/>
          <w:szCs w:val="24"/>
        </w:rPr>
        <w:t>ł</w:t>
      </w:r>
      <w:r w:rsidRPr="006466B2">
        <w:rPr>
          <w:b w:val="0"/>
          <w:sz w:val="24"/>
          <w:szCs w:val="24"/>
        </w:rPr>
        <w:t xml:space="preserve">żonka.   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>Wylicytowana cena sprzedaży pomniejszona o wpłacone wadium podlega zapłacie przed zawarciem aktu notarialn</w:t>
      </w:r>
      <w:r w:rsidRPr="006466B2">
        <w:rPr>
          <w:b w:val="0"/>
          <w:sz w:val="24"/>
          <w:szCs w:val="24"/>
        </w:rPr>
        <w:t>e</w:t>
      </w:r>
      <w:r w:rsidRPr="006466B2">
        <w:rPr>
          <w:b w:val="0"/>
          <w:sz w:val="24"/>
          <w:szCs w:val="24"/>
        </w:rPr>
        <w:t xml:space="preserve">go. 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>Osoba ustalona jako nabywca nieruchomości  w terminie do 21 dni od daty rozstrzygnięcia przetargu  zawiadomiona  zostanie pisemnie o miejscu i terminie zawarcia um</w:t>
      </w:r>
      <w:r w:rsidRPr="006466B2">
        <w:rPr>
          <w:b w:val="0"/>
          <w:sz w:val="24"/>
          <w:szCs w:val="24"/>
        </w:rPr>
        <w:t>o</w:t>
      </w:r>
      <w:r w:rsidRPr="006466B2">
        <w:rPr>
          <w:b w:val="0"/>
          <w:sz w:val="24"/>
          <w:szCs w:val="24"/>
        </w:rPr>
        <w:t>wy notarialnej. Wyznaczony termin nie może być krótszy niż 7 dni od dnia doręczenia zawiadomienia. Koszty notarialne i sądowe ponosi N</w:t>
      </w:r>
      <w:r w:rsidRPr="006466B2">
        <w:rPr>
          <w:b w:val="0"/>
          <w:sz w:val="24"/>
          <w:szCs w:val="24"/>
        </w:rPr>
        <w:t>a</w:t>
      </w:r>
      <w:r w:rsidRPr="006466B2">
        <w:rPr>
          <w:b w:val="0"/>
          <w:sz w:val="24"/>
          <w:szCs w:val="24"/>
        </w:rPr>
        <w:t xml:space="preserve">bywca.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>Jeżeli osoba ustalona Nabywcą nieruchomości nie stawi się bez usprawiedliwienia w miejscu i terminie podanym w zawiadomieniu, Burmistrz może odstąpić od zawarcia umowy notarialnej, a wpłacone wadium nie podlega zwrot</w:t>
      </w:r>
      <w:r w:rsidRPr="006466B2">
        <w:rPr>
          <w:b w:val="0"/>
          <w:sz w:val="24"/>
          <w:szCs w:val="24"/>
        </w:rPr>
        <w:t>o</w:t>
      </w:r>
      <w:r w:rsidRPr="006466B2">
        <w:rPr>
          <w:b w:val="0"/>
          <w:sz w:val="24"/>
          <w:szCs w:val="24"/>
        </w:rPr>
        <w:t xml:space="preserve">wi.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>Przetarg  zostanie przeprowadzony zgodnie z Rozporządzeniem Rady Ministrów z 14 września 2004 r. w sprawie sposobu i trybu przeprow</w:t>
      </w:r>
      <w:r w:rsidRPr="006466B2">
        <w:rPr>
          <w:b w:val="0"/>
          <w:sz w:val="24"/>
          <w:szCs w:val="24"/>
        </w:rPr>
        <w:t>a</w:t>
      </w:r>
      <w:r w:rsidRPr="006466B2">
        <w:rPr>
          <w:b w:val="0"/>
          <w:sz w:val="24"/>
          <w:szCs w:val="24"/>
        </w:rPr>
        <w:t>dzania  przetargów  oraz  rokowań na zbycie ni</w:t>
      </w:r>
      <w:r w:rsidRPr="006466B2">
        <w:rPr>
          <w:b w:val="0"/>
          <w:sz w:val="24"/>
          <w:szCs w:val="24"/>
        </w:rPr>
        <w:t>e</w:t>
      </w:r>
      <w:r w:rsidRPr="006466B2">
        <w:rPr>
          <w:b w:val="0"/>
          <w:sz w:val="24"/>
          <w:szCs w:val="24"/>
        </w:rPr>
        <w:t xml:space="preserve">ruchomości  (Dz. U z  2014 r. , poz. 1490 ).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 xml:space="preserve">Z uzasadnionej przyczyny przetarg może  być  odwołany.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  <w:r w:rsidRPr="006466B2">
        <w:rPr>
          <w:b w:val="0"/>
          <w:sz w:val="24"/>
          <w:szCs w:val="24"/>
        </w:rPr>
        <w:t xml:space="preserve">Wszelkich dodatkowych informacji udziela Wydział Inwestycji, Zagospodarowania Przestrzennego i  Gospodarki Nieruchomościami Urzędu Miejskiego w Sulęcinie ul. Lipowa 18, pokój nr 6, telefon 95 755 36 01  wew. 136. Ogłoszenie dostępne na stronie internetowej urzędu </w:t>
      </w:r>
      <w:hyperlink r:id="rId5" w:history="1">
        <w:r w:rsidRPr="006466B2">
          <w:rPr>
            <w:rStyle w:val="Hyperlink"/>
            <w:sz w:val="24"/>
            <w:szCs w:val="24"/>
          </w:rPr>
          <w:t>www.sulecin.pl</w:t>
        </w:r>
      </w:hyperlink>
      <w:r w:rsidRPr="006466B2">
        <w:rPr>
          <w:sz w:val="24"/>
          <w:szCs w:val="24"/>
          <w:u w:val="single"/>
        </w:rPr>
        <w:t xml:space="preserve"> </w:t>
      </w:r>
      <w:r w:rsidRPr="006466B2">
        <w:rPr>
          <w:b w:val="0"/>
          <w:sz w:val="24"/>
          <w:szCs w:val="24"/>
        </w:rPr>
        <w:t xml:space="preserve"> oraz  na stronie Biuletynu Informacji Publicznej </w:t>
      </w:r>
      <w:hyperlink r:id="rId6" w:history="1">
        <w:r w:rsidRPr="006466B2">
          <w:rPr>
            <w:rStyle w:val="Hyperlink"/>
            <w:sz w:val="24"/>
            <w:szCs w:val="24"/>
          </w:rPr>
          <w:t>www.bip.sulecin.pl</w:t>
        </w:r>
      </w:hyperlink>
      <w:r w:rsidRPr="006466B2">
        <w:rPr>
          <w:b w:val="0"/>
          <w:sz w:val="24"/>
          <w:szCs w:val="24"/>
        </w:rPr>
        <w:t xml:space="preserve">   </w:t>
      </w:r>
    </w:p>
    <w:p w:rsidR="004222C1" w:rsidRPr="006466B2" w:rsidRDefault="004222C1" w:rsidP="008158FC">
      <w:pPr>
        <w:pStyle w:val="Subtitle"/>
        <w:rPr>
          <w:b w:val="0"/>
          <w:sz w:val="24"/>
          <w:szCs w:val="24"/>
        </w:rPr>
      </w:pPr>
    </w:p>
    <w:p w:rsidR="004222C1" w:rsidRPr="006466B2" w:rsidRDefault="004222C1">
      <w:pPr>
        <w:pStyle w:val="Subtitle"/>
        <w:rPr>
          <w:b w:val="0"/>
          <w:sz w:val="20"/>
        </w:rPr>
      </w:pPr>
    </w:p>
    <w:p w:rsidR="004222C1" w:rsidRPr="006466B2" w:rsidRDefault="004222C1">
      <w:pPr>
        <w:pStyle w:val="Subtitle"/>
        <w:rPr>
          <w:b w:val="0"/>
          <w:sz w:val="20"/>
        </w:rPr>
      </w:pPr>
    </w:p>
    <w:sectPr w:rsidR="004222C1" w:rsidRPr="006466B2" w:rsidSect="00F318F7">
      <w:pgSz w:w="16840" w:h="11907" w:orient="landscape" w:code="9"/>
      <w:pgMar w:top="567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306"/>
    <w:multiLevelType w:val="singleLevel"/>
    <w:tmpl w:val="6056195C"/>
    <w:lvl w:ilvl="0">
      <w:start w:val="1"/>
      <w:numFmt w:val="decimal"/>
      <w:lvlText w:val="%1."/>
      <w:legacy w:legacy="1" w:legacySpace="0" w:legacyIndent="840"/>
      <w:lvlJc w:val="left"/>
      <w:pPr>
        <w:ind w:left="915" w:hanging="840"/>
      </w:pPr>
      <w:rPr>
        <w:rFonts w:cs="Times New Roman"/>
      </w:rPr>
    </w:lvl>
  </w:abstractNum>
  <w:abstractNum w:abstractNumId="1">
    <w:nsid w:val="3C722E42"/>
    <w:multiLevelType w:val="singleLevel"/>
    <w:tmpl w:val="C59A47A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cs="Times New Roman" w:hint="default"/>
      </w:rPr>
    </w:lvl>
  </w:abstractNum>
  <w:abstractNum w:abstractNumId="2">
    <w:nsid w:val="62744988"/>
    <w:multiLevelType w:val="singleLevel"/>
    <w:tmpl w:val="789A3D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3">
    <w:nsid w:val="771826B1"/>
    <w:multiLevelType w:val="hybridMultilevel"/>
    <w:tmpl w:val="2B48B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611"/>
    <w:rsid w:val="00000D27"/>
    <w:rsid w:val="000022B8"/>
    <w:rsid w:val="00003A76"/>
    <w:rsid w:val="0000545F"/>
    <w:rsid w:val="00005EC6"/>
    <w:rsid w:val="00034BC1"/>
    <w:rsid w:val="00047241"/>
    <w:rsid w:val="00056293"/>
    <w:rsid w:val="000620DD"/>
    <w:rsid w:val="00073A1A"/>
    <w:rsid w:val="00083F5E"/>
    <w:rsid w:val="000870C3"/>
    <w:rsid w:val="00096628"/>
    <w:rsid w:val="000A4B51"/>
    <w:rsid w:val="000B3256"/>
    <w:rsid w:val="000B407B"/>
    <w:rsid w:val="000B7E22"/>
    <w:rsid w:val="000C1BF1"/>
    <w:rsid w:val="000C3F66"/>
    <w:rsid w:val="000D71A6"/>
    <w:rsid w:val="000F1C24"/>
    <w:rsid w:val="000F6E1A"/>
    <w:rsid w:val="001034EB"/>
    <w:rsid w:val="001070D1"/>
    <w:rsid w:val="001103C1"/>
    <w:rsid w:val="00121767"/>
    <w:rsid w:val="00124124"/>
    <w:rsid w:val="00131745"/>
    <w:rsid w:val="00132CA3"/>
    <w:rsid w:val="00144F35"/>
    <w:rsid w:val="001476F5"/>
    <w:rsid w:val="00163DB4"/>
    <w:rsid w:val="001A44B7"/>
    <w:rsid w:val="001B1B87"/>
    <w:rsid w:val="001B7163"/>
    <w:rsid w:val="001B75D6"/>
    <w:rsid w:val="001B7A64"/>
    <w:rsid w:val="001B7E12"/>
    <w:rsid w:val="001C15C0"/>
    <w:rsid w:val="001C529A"/>
    <w:rsid w:val="001C5750"/>
    <w:rsid w:val="001D0F74"/>
    <w:rsid w:val="001E4365"/>
    <w:rsid w:val="001F0ED8"/>
    <w:rsid w:val="00205F7B"/>
    <w:rsid w:val="00206B11"/>
    <w:rsid w:val="00213E79"/>
    <w:rsid w:val="00222BE9"/>
    <w:rsid w:val="002241A0"/>
    <w:rsid w:val="00224FD8"/>
    <w:rsid w:val="00227A93"/>
    <w:rsid w:val="002352ED"/>
    <w:rsid w:val="002435C9"/>
    <w:rsid w:val="00250F96"/>
    <w:rsid w:val="00255830"/>
    <w:rsid w:val="002575B1"/>
    <w:rsid w:val="00257E14"/>
    <w:rsid w:val="00270B88"/>
    <w:rsid w:val="002724FB"/>
    <w:rsid w:val="0027484C"/>
    <w:rsid w:val="00275CC4"/>
    <w:rsid w:val="00285B16"/>
    <w:rsid w:val="00290267"/>
    <w:rsid w:val="00297AA2"/>
    <w:rsid w:val="002A7270"/>
    <w:rsid w:val="002B1F20"/>
    <w:rsid w:val="002C3269"/>
    <w:rsid w:val="002D5CDE"/>
    <w:rsid w:val="002E205C"/>
    <w:rsid w:val="002F7CD3"/>
    <w:rsid w:val="00300C08"/>
    <w:rsid w:val="00301C3F"/>
    <w:rsid w:val="00303396"/>
    <w:rsid w:val="00303442"/>
    <w:rsid w:val="00304AD7"/>
    <w:rsid w:val="0032009A"/>
    <w:rsid w:val="003227D4"/>
    <w:rsid w:val="003242F6"/>
    <w:rsid w:val="0032794F"/>
    <w:rsid w:val="003305E0"/>
    <w:rsid w:val="003326A8"/>
    <w:rsid w:val="00340F3E"/>
    <w:rsid w:val="00341297"/>
    <w:rsid w:val="00341E63"/>
    <w:rsid w:val="00347146"/>
    <w:rsid w:val="00351FD9"/>
    <w:rsid w:val="00355FD1"/>
    <w:rsid w:val="00367C00"/>
    <w:rsid w:val="00380290"/>
    <w:rsid w:val="00383DBC"/>
    <w:rsid w:val="00393B13"/>
    <w:rsid w:val="003B068B"/>
    <w:rsid w:val="003B241D"/>
    <w:rsid w:val="003D61D9"/>
    <w:rsid w:val="003E0482"/>
    <w:rsid w:val="003E2274"/>
    <w:rsid w:val="003F0B1A"/>
    <w:rsid w:val="003F479B"/>
    <w:rsid w:val="003F7F41"/>
    <w:rsid w:val="004109A0"/>
    <w:rsid w:val="00417AA7"/>
    <w:rsid w:val="004222C1"/>
    <w:rsid w:val="0042236D"/>
    <w:rsid w:val="00423D99"/>
    <w:rsid w:val="0045253B"/>
    <w:rsid w:val="004568F7"/>
    <w:rsid w:val="004576F7"/>
    <w:rsid w:val="00460AF3"/>
    <w:rsid w:val="004649C2"/>
    <w:rsid w:val="0046658D"/>
    <w:rsid w:val="004675EA"/>
    <w:rsid w:val="00472F1E"/>
    <w:rsid w:val="00477040"/>
    <w:rsid w:val="00487F57"/>
    <w:rsid w:val="00490506"/>
    <w:rsid w:val="004953A2"/>
    <w:rsid w:val="004A0920"/>
    <w:rsid w:val="004A23E2"/>
    <w:rsid w:val="004A2CD6"/>
    <w:rsid w:val="004B63C5"/>
    <w:rsid w:val="004C0C98"/>
    <w:rsid w:val="004C6831"/>
    <w:rsid w:val="004D3194"/>
    <w:rsid w:val="004E27C8"/>
    <w:rsid w:val="004E3BC0"/>
    <w:rsid w:val="004E4BC7"/>
    <w:rsid w:val="004F47C1"/>
    <w:rsid w:val="0050011D"/>
    <w:rsid w:val="00500660"/>
    <w:rsid w:val="00513958"/>
    <w:rsid w:val="00515372"/>
    <w:rsid w:val="00515AC3"/>
    <w:rsid w:val="005166D4"/>
    <w:rsid w:val="00525790"/>
    <w:rsid w:val="00527BB5"/>
    <w:rsid w:val="005376A3"/>
    <w:rsid w:val="00543D58"/>
    <w:rsid w:val="00552E51"/>
    <w:rsid w:val="00553704"/>
    <w:rsid w:val="00560527"/>
    <w:rsid w:val="00562F26"/>
    <w:rsid w:val="0056318C"/>
    <w:rsid w:val="00564F14"/>
    <w:rsid w:val="00567B1F"/>
    <w:rsid w:val="0057222C"/>
    <w:rsid w:val="00572D32"/>
    <w:rsid w:val="00584646"/>
    <w:rsid w:val="00585C60"/>
    <w:rsid w:val="005872A6"/>
    <w:rsid w:val="00590BE6"/>
    <w:rsid w:val="005B289C"/>
    <w:rsid w:val="005B3293"/>
    <w:rsid w:val="005B54C4"/>
    <w:rsid w:val="005D5C1F"/>
    <w:rsid w:val="005E3527"/>
    <w:rsid w:val="005E4C5A"/>
    <w:rsid w:val="005F2F03"/>
    <w:rsid w:val="005F5328"/>
    <w:rsid w:val="00603B98"/>
    <w:rsid w:val="00607B90"/>
    <w:rsid w:val="00610164"/>
    <w:rsid w:val="006109A0"/>
    <w:rsid w:val="0061455D"/>
    <w:rsid w:val="00624EC4"/>
    <w:rsid w:val="006312D3"/>
    <w:rsid w:val="00641180"/>
    <w:rsid w:val="006466B2"/>
    <w:rsid w:val="00656424"/>
    <w:rsid w:val="0065718D"/>
    <w:rsid w:val="00657DF6"/>
    <w:rsid w:val="006763FC"/>
    <w:rsid w:val="00676FE1"/>
    <w:rsid w:val="00682433"/>
    <w:rsid w:val="006824AF"/>
    <w:rsid w:val="0068382D"/>
    <w:rsid w:val="00692FE6"/>
    <w:rsid w:val="00694F12"/>
    <w:rsid w:val="006954AB"/>
    <w:rsid w:val="006A6D56"/>
    <w:rsid w:val="006A7877"/>
    <w:rsid w:val="006C4AD4"/>
    <w:rsid w:val="006C4B32"/>
    <w:rsid w:val="006E0A00"/>
    <w:rsid w:val="006E18C8"/>
    <w:rsid w:val="006E3E6B"/>
    <w:rsid w:val="006E5C2D"/>
    <w:rsid w:val="006F2970"/>
    <w:rsid w:val="00701D9C"/>
    <w:rsid w:val="00707849"/>
    <w:rsid w:val="00714651"/>
    <w:rsid w:val="007160F5"/>
    <w:rsid w:val="00723131"/>
    <w:rsid w:val="00724C9D"/>
    <w:rsid w:val="00743197"/>
    <w:rsid w:val="00744DE9"/>
    <w:rsid w:val="007512D7"/>
    <w:rsid w:val="00753F0A"/>
    <w:rsid w:val="00756BB3"/>
    <w:rsid w:val="00762655"/>
    <w:rsid w:val="00765E4D"/>
    <w:rsid w:val="00767831"/>
    <w:rsid w:val="00774B6F"/>
    <w:rsid w:val="00782D29"/>
    <w:rsid w:val="00785286"/>
    <w:rsid w:val="007865C7"/>
    <w:rsid w:val="0078717F"/>
    <w:rsid w:val="0079240B"/>
    <w:rsid w:val="00793B34"/>
    <w:rsid w:val="00796CFB"/>
    <w:rsid w:val="007D11BB"/>
    <w:rsid w:val="007D2FC6"/>
    <w:rsid w:val="007E076B"/>
    <w:rsid w:val="007E172E"/>
    <w:rsid w:val="007E2C1A"/>
    <w:rsid w:val="007E78E8"/>
    <w:rsid w:val="007F58C9"/>
    <w:rsid w:val="007F74E6"/>
    <w:rsid w:val="00801FF6"/>
    <w:rsid w:val="008050B1"/>
    <w:rsid w:val="008064FE"/>
    <w:rsid w:val="008108E5"/>
    <w:rsid w:val="00812895"/>
    <w:rsid w:val="008158FC"/>
    <w:rsid w:val="00824535"/>
    <w:rsid w:val="008270D2"/>
    <w:rsid w:val="008306B9"/>
    <w:rsid w:val="00835CA1"/>
    <w:rsid w:val="00841DE7"/>
    <w:rsid w:val="00843BBE"/>
    <w:rsid w:val="00850C23"/>
    <w:rsid w:val="008605C8"/>
    <w:rsid w:val="00870D82"/>
    <w:rsid w:val="00871340"/>
    <w:rsid w:val="00880734"/>
    <w:rsid w:val="008820B4"/>
    <w:rsid w:val="00886163"/>
    <w:rsid w:val="0089347B"/>
    <w:rsid w:val="008960C2"/>
    <w:rsid w:val="008A04A0"/>
    <w:rsid w:val="008A0C5E"/>
    <w:rsid w:val="008A1400"/>
    <w:rsid w:val="008A3837"/>
    <w:rsid w:val="008A4383"/>
    <w:rsid w:val="008A6E67"/>
    <w:rsid w:val="008C0800"/>
    <w:rsid w:val="008C15B3"/>
    <w:rsid w:val="008C5649"/>
    <w:rsid w:val="008D18C0"/>
    <w:rsid w:val="008D51C4"/>
    <w:rsid w:val="008D6589"/>
    <w:rsid w:val="008D6ECE"/>
    <w:rsid w:val="008E44F4"/>
    <w:rsid w:val="008E5905"/>
    <w:rsid w:val="008E709A"/>
    <w:rsid w:val="008F54C2"/>
    <w:rsid w:val="008F783C"/>
    <w:rsid w:val="00901EAC"/>
    <w:rsid w:val="009101FB"/>
    <w:rsid w:val="0091314B"/>
    <w:rsid w:val="0092767B"/>
    <w:rsid w:val="0094119C"/>
    <w:rsid w:val="00942364"/>
    <w:rsid w:val="00944A69"/>
    <w:rsid w:val="00947949"/>
    <w:rsid w:val="00961542"/>
    <w:rsid w:val="009676B3"/>
    <w:rsid w:val="00967C01"/>
    <w:rsid w:val="00972EC0"/>
    <w:rsid w:val="00977026"/>
    <w:rsid w:val="00986F1D"/>
    <w:rsid w:val="009917FF"/>
    <w:rsid w:val="009947DE"/>
    <w:rsid w:val="00997FF8"/>
    <w:rsid w:val="009A39D1"/>
    <w:rsid w:val="009A6C37"/>
    <w:rsid w:val="009B38F3"/>
    <w:rsid w:val="009C1CE0"/>
    <w:rsid w:val="009C324C"/>
    <w:rsid w:val="009C3C53"/>
    <w:rsid w:val="009C7D66"/>
    <w:rsid w:val="009C7F55"/>
    <w:rsid w:val="009D1799"/>
    <w:rsid w:val="009D694B"/>
    <w:rsid w:val="009F1496"/>
    <w:rsid w:val="00A0316D"/>
    <w:rsid w:val="00A07CD7"/>
    <w:rsid w:val="00A12AA1"/>
    <w:rsid w:val="00A20DD0"/>
    <w:rsid w:val="00A235DF"/>
    <w:rsid w:val="00A318F3"/>
    <w:rsid w:val="00A339C0"/>
    <w:rsid w:val="00A51A44"/>
    <w:rsid w:val="00A54DAC"/>
    <w:rsid w:val="00A67874"/>
    <w:rsid w:val="00A67CE6"/>
    <w:rsid w:val="00A75112"/>
    <w:rsid w:val="00A81535"/>
    <w:rsid w:val="00A81A61"/>
    <w:rsid w:val="00A856EA"/>
    <w:rsid w:val="00A86D83"/>
    <w:rsid w:val="00A87D7F"/>
    <w:rsid w:val="00AA1644"/>
    <w:rsid w:val="00AB34B5"/>
    <w:rsid w:val="00AD0E90"/>
    <w:rsid w:val="00AD0F5A"/>
    <w:rsid w:val="00AE3787"/>
    <w:rsid w:val="00AF114B"/>
    <w:rsid w:val="00AF1A70"/>
    <w:rsid w:val="00AF3291"/>
    <w:rsid w:val="00AF3ADB"/>
    <w:rsid w:val="00B07ABD"/>
    <w:rsid w:val="00B119DF"/>
    <w:rsid w:val="00B11D99"/>
    <w:rsid w:val="00B261EB"/>
    <w:rsid w:val="00B2748A"/>
    <w:rsid w:val="00B33FC9"/>
    <w:rsid w:val="00B34422"/>
    <w:rsid w:val="00B346A6"/>
    <w:rsid w:val="00B407FE"/>
    <w:rsid w:val="00B42390"/>
    <w:rsid w:val="00B63B0F"/>
    <w:rsid w:val="00B64AAF"/>
    <w:rsid w:val="00B744FC"/>
    <w:rsid w:val="00B7622E"/>
    <w:rsid w:val="00B77506"/>
    <w:rsid w:val="00B800E8"/>
    <w:rsid w:val="00B812E0"/>
    <w:rsid w:val="00B91671"/>
    <w:rsid w:val="00B91C5B"/>
    <w:rsid w:val="00B928A0"/>
    <w:rsid w:val="00BA06FA"/>
    <w:rsid w:val="00BA53FB"/>
    <w:rsid w:val="00BC55FF"/>
    <w:rsid w:val="00BC5EE1"/>
    <w:rsid w:val="00BD163D"/>
    <w:rsid w:val="00BD75BB"/>
    <w:rsid w:val="00BE1A47"/>
    <w:rsid w:val="00BE2652"/>
    <w:rsid w:val="00BE60A7"/>
    <w:rsid w:val="00C0151A"/>
    <w:rsid w:val="00C03D13"/>
    <w:rsid w:val="00C05B3B"/>
    <w:rsid w:val="00C065BE"/>
    <w:rsid w:val="00C07C01"/>
    <w:rsid w:val="00C13660"/>
    <w:rsid w:val="00C149B6"/>
    <w:rsid w:val="00C24B11"/>
    <w:rsid w:val="00C267B7"/>
    <w:rsid w:val="00C26F37"/>
    <w:rsid w:val="00C3372F"/>
    <w:rsid w:val="00C3421A"/>
    <w:rsid w:val="00C35C38"/>
    <w:rsid w:val="00C36D92"/>
    <w:rsid w:val="00C36DD5"/>
    <w:rsid w:val="00C36FC1"/>
    <w:rsid w:val="00C400D6"/>
    <w:rsid w:val="00C40375"/>
    <w:rsid w:val="00C40BBA"/>
    <w:rsid w:val="00C41AE3"/>
    <w:rsid w:val="00C44FEE"/>
    <w:rsid w:val="00C57611"/>
    <w:rsid w:val="00C609D0"/>
    <w:rsid w:val="00C63249"/>
    <w:rsid w:val="00C712CC"/>
    <w:rsid w:val="00C8055D"/>
    <w:rsid w:val="00C93E85"/>
    <w:rsid w:val="00CA2294"/>
    <w:rsid w:val="00CA39DC"/>
    <w:rsid w:val="00CB00A3"/>
    <w:rsid w:val="00CB3566"/>
    <w:rsid w:val="00CC455D"/>
    <w:rsid w:val="00CC5326"/>
    <w:rsid w:val="00CD00DF"/>
    <w:rsid w:val="00CD06A2"/>
    <w:rsid w:val="00CD12F6"/>
    <w:rsid w:val="00CD438D"/>
    <w:rsid w:val="00CE0A08"/>
    <w:rsid w:val="00CE598F"/>
    <w:rsid w:val="00D11A19"/>
    <w:rsid w:val="00D11DE3"/>
    <w:rsid w:val="00D16F91"/>
    <w:rsid w:val="00D37368"/>
    <w:rsid w:val="00D45B19"/>
    <w:rsid w:val="00D6031D"/>
    <w:rsid w:val="00D61EA3"/>
    <w:rsid w:val="00D641A4"/>
    <w:rsid w:val="00D65E9D"/>
    <w:rsid w:val="00D7104A"/>
    <w:rsid w:val="00D71E7D"/>
    <w:rsid w:val="00D76AD9"/>
    <w:rsid w:val="00D804A2"/>
    <w:rsid w:val="00D80D6B"/>
    <w:rsid w:val="00D846D6"/>
    <w:rsid w:val="00D92D8B"/>
    <w:rsid w:val="00D97177"/>
    <w:rsid w:val="00D97930"/>
    <w:rsid w:val="00DB7742"/>
    <w:rsid w:val="00DC27FB"/>
    <w:rsid w:val="00DC4B93"/>
    <w:rsid w:val="00DD118C"/>
    <w:rsid w:val="00DD14BB"/>
    <w:rsid w:val="00DD1DA7"/>
    <w:rsid w:val="00DE028B"/>
    <w:rsid w:val="00DE0D3B"/>
    <w:rsid w:val="00DE2F08"/>
    <w:rsid w:val="00DF15B7"/>
    <w:rsid w:val="00DF639E"/>
    <w:rsid w:val="00E05342"/>
    <w:rsid w:val="00E05E21"/>
    <w:rsid w:val="00E06208"/>
    <w:rsid w:val="00E2475D"/>
    <w:rsid w:val="00E32196"/>
    <w:rsid w:val="00E32A16"/>
    <w:rsid w:val="00E4218A"/>
    <w:rsid w:val="00E42E0B"/>
    <w:rsid w:val="00E46434"/>
    <w:rsid w:val="00E475F4"/>
    <w:rsid w:val="00E47C2A"/>
    <w:rsid w:val="00E50833"/>
    <w:rsid w:val="00E7257A"/>
    <w:rsid w:val="00E72ADC"/>
    <w:rsid w:val="00E74E79"/>
    <w:rsid w:val="00E76296"/>
    <w:rsid w:val="00E83029"/>
    <w:rsid w:val="00E837FF"/>
    <w:rsid w:val="00E840D8"/>
    <w:rsid w:val="00E85B92"/>
    <w:rsid w:val="00E85F71"/>
    <w:rsid w:val="00E87AA3"/>
    <w:rsid w:val="00E929EC"/>
    <w:rsid w:val="00E93B4B"/>
    <w:rsid w:val="00EA3BC6"/>
    <w:rsid w:val="00EB2918"/>
    <w:rsid w:val="00EB3AEB"/>
    <w:rsid w:val="00EE0E3A"/>
    <w:rsid w:val="00EE4B20"/>
    <w:rsid w:val="00EE54D3"/>
    <w:rsid w:val="00F00A20"/>
    <w:rsid w:val="00F00D89"/>
    <w:rsid w:val="00F045C3"/>
    <w:rsid w:val="00F04859"/>
    <w:rsid w:val="00F066F6"/>
    <w:rsid w:val="00F10555"/>
    <w:rsid w:val="00F126EE"/>
    <w:rsid w:val="00F14A30"/>
    <w:rsid w:val="00F158E2"/>
    <w:rsid w:val="00F17CC2"/>
    <w:rsid w:val="00F230B2"/>
    <w:rsid w:val="00F27C0E"/>
    <w:rsid w:val="00F318F7"/>
    <w:rsid w:val="00F3336F"/>
    <w:rsid w:val="00F35A2A"/>
    <w:rsid w:val="00F36A6E"/>
    <w:rsid w:val="00F40B5A"/>
    <w:rsid w:val="00F420D8"/>
    <w:rsid w:val="00F478ED"/>
    <w:rsid w:val="00F47A83"/>
    <w:rsid w:val="00F5378B"/>
    <w:rsid w:val="00F544F4"/>
    <w:rsid w:val="00F6085F"/>
    <w:rsid w:val="00F62602"/>
    <w:rsid w:val="00F71450"/>
    <w:rsid w:val="00F724AD"/>
    <w:rsid w:val="00F77706"/>
    <w:rsid w:val="00F777FD"/>
    <w:rsid w:val="00F81201"/>
    <w:rsid w:val="00F8506C"/>
    <w:rsid w:val="00F9169E"/>
    <w:rsid w:val="00F95DDF"/>
    <w:rsid w:val="00FA5BD3"/>
    <w:rsid w:val="00FA64EA"/>
    <w:rsid w:val="00FA7C03"/>
    <w:rsid w:val="00FB19CD"/>
    <w:rsid w:val="00FB7304"/>
    <w:rsid w:val="00FB7F6B"/>
    <w:rsid w:val="00FC13AC"/>
    <w:rsid w:val="00FC7DB8"/>
    <w:rsid w:val="00FD6836"/>
    <w:rsid w:val="00FD7368"/>
    <w:rsid w:val="00FE0E9E"/>
    <w:rsid w:val="00FE5048"/>
    <w:rsid w:val="00FF3379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703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58FC"/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B261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391"/>
  </w:style>
  <w:style w:type="character" w:styleId="FootnoteReference">
    <w:name w:val="footnote reference"/>
    <w:basedOn w:val="DefaultParagraphFont"/>
    <w:uiPriority w:val="99"/>
    <w:semiHidden/>
    <w:rsid w:val="00B261EB"/>
    <w:rPr>
      <w:vertAlign w:val="superscript"/>
    </w:rPr>
  </w:style>
  <w:style w:type="table" w:styleId="TableGrid">
    <w:name w:val="Table Grid"/>
    <w:basedOn w:val="TableNormal"/>
    <w:uiPriority w:val="59"/>
    <w:rsid w:val="001C52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91"/>
    <w:rPr>
      <w:sz w:val="0"/>
      <w:szCs w:val="0"/>
    </w:rPr>
  </w:style>
  <w:style w:type="character" w:styleId="Hyperlink">
    <w:name w:val="Hyperlink"/>
    <w:basedOn w:val="DefaultParagraphFont"/>
    <w:uiPriority w:val="99"/>
    <w:rsid w:val="007F74E6"/>
    <w:rPr>
      <w:color w:val="0000FF"/>
      <w:u w:val="single"/>
    </w:rPr>
  </w:style>
  <w:style w:type="paragraph" w:customStyle="1" w:styleId="Tekstdymka2">
    <w:name w:val="Tekst dymka2"/>
    <w:basedOn w:val="Normal"/>
    <w:rsid w:val="00EE54D3"/>
    <w:pPr>
      <w:widowControl/>
      <w:overflowPunct w:val="0"/>
      <w:autoSpaceDE w:val="0"/>
      <w:autoSpaceDN w:val="0"/>
      <w:adjustRightInd w:val="0"/>
      <w:textAlignment w:val="baseline"/>
    </w:pPr>
    <w:rPr>
      <w:rFonts w:ascii="Tahoma" w:hAnsi="Tahoma"/>
      <w:spacing w:val="2"/>
      <w:kern w:val="32"/>
      <w:position w:val="8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in.pl" TargetMode="External"/><Relationship Id="rId5" Type="http://schemas.openxmlformats.org/officeDocument/2006/relationships/hyperlink" Target="http://www.sul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801</Words>
  <Characters>4808</Characters>
  <Application>Microsoft Office Outlook</Application>
  <DocSecurity>0</DocSecurity>
  <Lines>0</Lines>
  <Paragraphs>0</Paragraphs>
  <ScaleCrop>false</ScaleCrop>
  <Company>Urząd Miasta i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     NR</dc:title>
  <dc:subject/>
  <dc:creator>supervisor</dc:creator>
  <cp:keywords/>
  <dc:description/>
  <cp:lastModifiedBy>Małgorzata Tracz</cp:lastModifiedBy>
  <cp:revision>4</cp:revision>
  <cp:lastPrinted>2018-05-14T12:51:00Z</cp:lastPrinted>
  <dcterms:created xsi:type="dcterms:W3CDTF">2018-05-09T12:32:00Z</dcterms:created>
  <dcterms:modified xsi:type="dcterms:W3CDTF">2018-05-14T13:33:00Z</dcterms:modified>
</cp:coreProperties>
</file>